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753F" w14:textId="35D22FC0" w:rsidR="00C92196" w:rsidRPr="007732C1" w:rsidRDefault="00C92196" w:rsidP="007732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JOB OPENING – REQUISITION FORM</w:t>
      </w:r>
    </w:p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302"/>
      </w:tblGrid>
      <w:tr w:rsidR="00C92196" w:rsidRPr="00970EEB" w14:paraId="2FB87FD2" w14:textId="77777777" w:rsidTr="007732C1">
        <w:trPr>
          <w:trHeight w:val="510"/>
        </w:trPr>
        <w:tc>
          <w:tcPr>
            <w:tcW w:w="675" w:type="dxa"/>
          </w:tcPr>
          <w:p w14:paraId="117BE102" w14:textId="2A5D6481" w:rsidR="00C92196" w:rsidRPr="00970EEB" w:rsidRDefault="00DB120F" w:rsidP="00C921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0EEB">
              <w:rPr>
                <w:rFonts w:ascii="Arial" w:hAnsi="Arial" w:cs="Arial"/>
                <w:b/>
                <w:sz w:val="24"/>
                <w:szCs w:val="24"/>
              </w:rPr>
              <w:t>Sr.</w:t>
            </w:r>
          </w:p>
        </w:tc>
        <w:tc>
          <w:tcPr>
            <w:tcW w:w="2268" w:type="dxa"/>
          </w:tcPr>
          <w:p w14:paraId="5873CB83" w14:textId="77777777" w:rsidR="00C92196" w:rsidRPr="00970EEB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EEB">
              <w:rPr>
                <w:rFonts w:ascii="Arial" w:hAnsi="Arial" w:cs="Arial"/>
                <w:b/>
                <w:sz w:val="24"/>
                <w:szCs w:val="24"/>
              </w:rPr>
              <w:t>Heads</w:t>
            </w:r>
          </w:p>
        </w:tc>
        <w:tc>
          <w:tcPr>
            <w:tcW w:w="6302" w:type="dxa"/>
          </w:tcPr>
          <w:p w14:paraId="6D534CDC" w14:textId="77777777" w:rsidR="00C92196" w:rsidRPr="00970EEB" w:rsidRDefault="00DB120F" w:rsidP="00471C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EEB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C92196" w:rsidRPr="00970EEB" w14:paraId="65227F67" w14:textId="77777777" w:rsidTr="007732C1">
        <w:trPr>
          <w:trHeight w:val="66"/>
        </w:trPr>
        <w:tc>
          <w:tcPr>
            <w:tcW w:w="675" w:type="dxa"/>
          </w:tcPr>
          <w:p w14:paraId="540C6458" w14:textId="77777777" w:rsidR="00C92196" w:rsidRPr="007732C1" w:rsidRDefault="00DB120F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1.</w:t>
            </w:r>
          </w:p>
        </w:tc>
        <w:tc>
          <w:tcPr>
            <w:tcW w:w="2268" w:type="dxa"/>
          </w:tcPr>
          <w:p w14:paraId="695A1FE6" w14:textId="7FB4D7AB" w:rsidR="006B6D8A" w:rsidRPr="007732C1" w:rsidRDefault="00DB120F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Name of Employer</w:t>
            </w:r>
          </w:p>
        </w:tc>
        <w:tc>
          <w:tcPr>
            <w:tcW w:w="6302" w:type="dxa"/>
          </w:tcPr>
          <w:p w14:paraId="4186A2DB" w14:textId="77777777" w:rsidR="00C92196" w:rsidRPr="007732C1" w:rsidRDefault="0012097F" w:rsidP="00471CDB">
            <w:pP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McQuilling Shipping Services DMCC </w:t>
            </w:r>
          </w:p>
        </w:tc>
      </w:tr>
      <w:tr w:rsidR="00C92196" w:rsidRPr="00970EEB" w14:paraId="457A0C6A" w14:textId="77777777" w:rsidTr="007732C1">
        <w:trPr>
          <w:trHeight w:val="1251"/>
        </w:trPr>
        <w:tc>
          <w:tcPr>
            <w:tcW w:w="675" w:type="dxa"/>
          </w:tcPr>
          <w:p w14:paraId="777E7612" w14:textId="77777777" w:rsidR="00C92196" w:rsidRPr="007732C1" w:rsidRDefault="00DB120F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2.</w:t>
            </w:r>
          </w:p>
        </w:tc>
        <w:tc>
          <w:tcPr>
            <w:tcW w:w="2268" w:type="dxa"/>
          </w:tcPr>
          <w:p w14:paraId="67AD462A" w14:textId="57C2C536" w:rsidR="00813432" w:rsidRPr="007732C1" w:rsidRDefault="00DB120F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Nature of Business</w:t>
            </w:r>
          </w:p>
        </w:tc>
        <w:tc>
          <w:tcPr>
            <w:tcW w:w="6302" w:type="dxa"/>
          </w:tcPr>
          <w:p w14:paraId="7D69968A" w14:textId="77777777" w:rsidR="00C92196" w:rsidRPr="007732C1" w:rsidRDefault="0012097F" w:rsidP="00471CDB">
            <w:pP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Ship Brokering and Chartering</w:t>
            </w:r>
          </w:p>
          <w:p w14:paraId="56C131CE" w14:textId="77777777" w:rsidR="0012097F" w:rsidRPr="007732C1" w:rsidRDefault="0012097F" w:rsidP="00471CDB">
            <w:pP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</w:p>
          <w:p w14:paraId="4CA08779" w14:textId="77777777" w:rsidR="0012097F" w:rsidRPr="007732C1" w:rsidRDefault="0012097F" w:rsidP="00471CDB">
            <w:pP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We serve clients in the shipping, </w:t>
            </w:r>
            <w:proofErr w:type="gramStart"/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commodity</w:t>
            </w:r>
            <w:proofErr w:type="gramEnd"/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 and financial services industries, providing brokerage for freight and assets as well as research, consulting and advisory related to global seaborne transportation and associated disciplines in the supply chain.  </w:t>
            </w:r>
          </w:p>
        </w:tc>
      </w:tr>
      <w:tr w:rsidR="00C92196" w:rsidRPr="00970EEB" w14:paraId="094ECBF9" w14:textId="77777777" w:rsidTr="007732C1">
        <w:trPr>
          <w:trHeight w:val="70"/>
        </w:trPr>
        <w:tc>
          <w:tcPr>
            <w:tcW w:w="675" w:type="dxa"/>
          </w:tcPr>
          <w:p w14:paraId="763B2814" w14:textId="77777777" w:rsidR="00C92196" w:rsidRPr="007732C1" w:rsidRDefault="00DB120F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3.</w:t>
            </w:r>
          </w:p>
        </w:tc>
        <w:tc>
          <w:tcPr>
            <w:tcW w:w="2268" w:type="dxa"/>
          </w:tcPr>
          <w:p w14:paraId="49A87D8F" w14:textId="17EF9EA6" w:rsidR="00DB120F" w:rsidRPr="007732C1" w:rsidRDefault="00DB120F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Postal Address</w:t>
            </w:r>
          </w:p>
        </w:tc>
        <w:tc>
          <w:tcPr>
            <w:tcW w:w="6302" w:type="dxa"/>
          </w:tcPr>
          <w:p w14:paraId="5FE5ADF0" w14:textId="4234BD64" w:rsidR="00C92196" w:rsidRPr="007732C1" w:rsidRDefault="00C92196" w:rsidP="00471CDB">
            <w:pP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</w:p>
        </w:tc>
      </w:tr>
      <w:tr w:rsidR="00C92196" w:rsidRPr="00970EEB" w14:paraId="59194725" w14:textId="77777777" w:rsidTr="007732C1">
        <w:trPr>
          <w:trHeight w:val="286"/>
        </w:trPr>
        <w:tc>
          <w:tcPr>
            <w:tcW w:w="675" w:type="dxa"/>
          </w:tcPr>
          <w:p w14:paraId="2EF3C5A2" w14:textId="77777777" w:rsidR="00C92196" w:rsidRPr="007732C1" w:rsidRDefault="00DB120F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4.</w:t>
            </w:r>
          </w:p>
        </w:tc>
        <w:tc>
          <w:tcPr>
            <w:tcW w:w="2268" w:type="dxa"/>
          </w:tcPr>
          <w:p w14:paraId="06F30992" w14:textId="075981E4" w:rsidR="00DB120F" w:rsidRPr="007732C1" w:rsidRDefault="00DB120F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Tele, E-mail &amp; Website</w:t>
            </w:r>
          </w:p>
        </w:tc>
        <w:tc>
          <w:tcPr>
            <w:tcW w:w="6302" w:type="dxa"/>
          </w:tcPr>
          <w:p w14:paraId="340258E6" w14:textId="19FB158A" w:rsidR="0012097F" w:rsidRPr="007732C1" w:rsidRDefault="007732C1" w:rsidP="00471CDB">
            <w:pP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hyperlink r:id="rId6" w:history="1">
              <w:r w:rsidR="0012097F" w:rsidRPr="007732C1">
                <w:rPr>
                  <w:rFonts w:ascii="inherit" w:eastAsia="Times New Roman" w:hAnsi="inherit" w:cs="Open Sans"/>
                  <w:color w:val="333333"/>
                  <w:sz w:val="24"/>
                  <w:szCs w:val="24"/>
                  <w:lang w:val="en-IN" w:eastAsia="en-IN"/>
                </w:rPr>
                <w:t>www.mcquilling.com</w:t>
              </w:r>
            </w:hyperlink>
          </w:p>
        </w:tc>
      </w:tr>
      <w:tr w:rsidR="00C92196" w:rsidRPr="00970EEB" w14:paraId="311C16E2" w14:textId="77777777" w:rsidTr="007732C1">
        <w:trPr>
          <w:trHeight w:val="70"/>
        </w:trPr>
        <w:tc>
          <w:tcPr>
            <w:tcW w:w="675" w:type="dxa"/>
          </w:tcPr>
          <w:p w14:paraId="39CB3D3E" w14:textId="77777777" w:rsidR="00C92196" w:rsidRPr="007732C1" w:rsidRDefault="00DB120F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5.</w:t>
            </w:r>
          </w:p>
        </w:tc>
        <w:tc>
          <w:tcPr>
            <w:tcW w:w="2268" w:type="dxa"/>
          </w:tcPr>
          <w:p w14:paraId="1AC7A016" w14:textId="7E13E99D" w:rsidR="00DB120F" w:rsidRPr="007732C1" w:rsidRDefault="00DB120F" w:rsidP="003B7E2E">
            <w:pP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Contact person’s name, designation, Tele. No. &amp; e-mail</w:t>
            </w:r>
          </w:p>
        </w:tc>
        <w:tc>
          <w:tcPr>
            <w:tcW w:w="6302" w:type="dxa"/>
          </w:tcPr>
          <w:p w14:paraId="77553C50" w14:textId="596EB66E" w:rsidR="0012097F" w:rsidRPr="007732C1" w:rsidRDefault="0012097F" w:rsidP="00471CDB">
            <w:pP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proofErr w:type="spellStart"/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Capt</w:t>
            </w:r>
            <w:proofErr w:type="spellEnd"/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 Tushar Gangoly</w:t>
            </w:r>
          </w:p>
          <w:p w14:paraId="24177911" w14:textId="036E1BB1" w:rsidR="0012097F" w:rsidRPr="007732C1" w:rsidRDefault="0012097F" w:rsidP="00471CDB">
            <w:pP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+91 22 6697 8888</w:t>
            </w:r>
            <w:r w:rsid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 / </w:t>
            </w: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+91 98 1914 5717</w:t>
            </w:r>
          </w:p>
          <w:p w14:paraId="0A531A14" w14:textId="71804446" w:rsidR="007732C1" w:rsidRPr="007732C1" w:rsidRDefault="007732C1" w:rsidP="007732C1">
            <w:pPr>
              <w:shd w:val="clear" w:color="auto" w:fill="FFFFFF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All interested candidates should send their CV and Cover Letter</w:t>
            </w:r>
            <w: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 </w:t>
            </w: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to</w:t>
            </w:r>
            <w: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: </w:t>
            </w:r>
            <w:hyperlink r:id="rId7" w:history="1">
              <w:r w:rsidRPr="003B7E2E">
                <w:rPr>
                  <w:rStyle w:val="Hyperlink"/>
                  <w:rFonts w:ascii="inherit" w:eastAsia="Times New Roman" w:hAnsi="inherit" w:cs="Open Sans"/>
                  <w:sz w:val="24"/>
                  <w:szCs w:val="24"/>
                  <w:lang w:val="en-IN" w:eastAsia="en-IN"/>
                </w:rPr>
                <w:t>tushar.gangoly@mcquilling.com</w:t>
              </w:r>
            </w:hyperlink>
            <w: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 </w:t>
            </w: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and</w:t>
            </w:r>
            <w: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 </w:t>
            </w:r>
            <w:hyperlink r:id="rId8" w:history="1">
              <w:r w:rsidRPr="003B7E2E">
                <w:rPr>
                  <w:rStyle w:val="Hyperlink"/>
                  <w:rFonts w:ascii="inherit" w:eastAsia="Times New Roman" w:hAnsi="inherit" w:cs="Open Sans"/>
                  <w:sz w:val="24"/>
                  <w:szCs w:val="24"/>
                  <w:lang w:val="en-IN" w:eastAsia="en-IN"/>
                </w:rPr>
                <w:t>raghu.kodakara@mcquilling.com</w:t>
              </w:r>
            </w:hyperlink>
          </w:p>
        </w:tc>
      </w:tr>
      <w:tr w:rsidR="006B6D8A" w:rsidRPr="00970EEB" w14:paraId="16E26DCD" w14:textId="77777777" w:rsidTr="007732C1">
        <w:trPr>
          <w:trHeight w:val="241"/>
        </w:trPr>
        <w:tc>
          <w:tcPr>
            <w:tcW w:w="675" w:type="dxa"/>
            <w:vMerge w:val="restart"/>
          </w:tcPr>
          <w:p w14:paraId="1DA6969F" w14:textId="77777777" w:rsidR="006B6D8A" w:rsidRPr="007732C1" w:rsidRDefault="006B6D8A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6.</w:t>
            </w:r>
          </w:p>
        </w:tc>
        <w:tc>
          <w:tcPr>
            <w:tcW w:w="8570" w:type="dxa"/>
            <w:gridSpan w:val="2"/>
          </w:tcPr>
          <w:p w14:paraId="1AED2649" w14:textId="0CCDA1DB" w:rsidR="006B6D8A" w:rsidRPr="007732C1" w:rsidRDefault="006B6D8A" w:rsidP="00471CDB">
            <w:pP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Vacancy </w:t>
            </w:r>
            <w:r w:rsidR="007732C1"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description:</w:t>
            </w:r>
          </w:p>
        </w:tc>
      </w:tr>
      <w:tr w:rsidR="006B6D8A" w:rsidRPr="00970EEB" w14:paraId="16E5A116" w14:textId="77777777" w:rsidTr="007732C1">
        <w:trPr>
          <w:trHeight w:val="136"/>
        </w:trPr>
        <w:tc>
          <w:tcPr>
            <w:tcW w:w="675" w:type="dxa"/>
            <w:vMerge/>
          </w:tcPr>
          <w:p w14:paraId="079B1C8E" w14:textId="77777777" w:rsidR="006B6D8A" w:rsidRPr="007732C1" w:rsidRDefault="006B6D8A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</w:p>
        </w:tc>
        <w:tc>
          <w:tcPr>
            <w:tcW w:w="2268" w:type="dxa"/>
          </w:tcPr>
          <w:p w14:paraId="62242239" w14:textId="5D803F22" w:rsidR="006B6D8A" w:rsidRPr="007732C1" w:rsidRDefault="006B6D8A" w:rsidP="007732C1">
            <w:pPr>
              <w:pStyle w:val="ListParagraph"/>
              <w:numPr>
                <w:ilvl w:val="0"/>
                <w:numId w:val="4"/>
              </w:numPr>
              <w:ind w:left="319" w:hanging="319"/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Position including nature of work</w:t>
            </w:r>
          </w:p>
          <w:p w14:paraId="1F41DC38" w14:textId="77777777" w:rsidR="006B6D8A" w:rsidRPr="007732C1" w:rsidRDefault="006B6D8A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</w:p>
          <w:p w14:paraId="3CAA1F52" w14:textId="77777777" w:rsidR="006B6D8A" w:rsidRPr="007732C1" w:rsidRDefault="006B6D8A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</w:p>
          <w:p w14:paraId="6580517F" w14:textId="77777777" w:rsidR="006B6D8A" w:rsidRPr="007732C1" w:rsidRDefault="006B6D8A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</w:p>
        </w:tc>
        <w:tc>
          <w:tcPr>
            <w:tcW w:w="6302" w:type="dxa"/>
          </w:tcPr>
          <w:p w14:paraId="5DC941AA" w14:textId="682ED402" w:rsidR="003B7E2E" w:rsidRPr="003B7E2E" w:rsidRDefault="003B7E2E" w:rsidP="003B7E2E">
            <w:pPr>
              <w:shd w:val="clear" w:color="auto" w:fill="FFFFFF"/>
              <w:spacing w:after="300"/>
              <w:outlineLvl w:val="0"/>
              <w:rPr>
                <w:rFonts w:ascii="Open Sans" w:eastAsia="Times New Roman" w:hAnsi="Open Sans" w:cs="Open Sans"/>
                <w:b/>
                <w:bCs/>
                <w:smallCaps/>
                <w:color w:val="333333"/>
                <w:kern w:val="36"/>
                <w:sz w:val="33"/>
                <w:szCs w:val="33"/>
                <w:lang w:val="en-IN" w:eastAsia="en-IN"/>
              </w:rPr>
            </w:pPr>
            <w:r w:rsidRPr="003B7E2E">
              <w:rPr>
                <w:rFonts w:ascii="Open Sans" w:eastAsia="Times New Roman" w:hAnsi="Open Sans" w:cs="Open Sans"/>
                <w:b/>
                <w:bCs/>
                <w:smallCaps/>
                <w:color w:val="333333"/>
                <w:kern w:val="36"/>
                <w:sz w:val="33"/>
                <w:szCs w:val="33"/>
                <w:lang w:val="en-IN" w:eastAsia="en-IN"/>
              </w:rPr>
              <w:t>Assistant Chartering Executive (Mumbai</w:t>
            </w:r>
            <w:r>
              <w:rPr>
                <w:rFonts w:ascii="Open Sans" w:eastAsia="Times New Roman" w:hAnsi="Open Sans" w:cs="Open Sans"/>
                <w:b/>
                <w:bCs/>
                <w:smallCaps/>
                <w:color w:val="333333"/>
                <w:kern w:val="36"/>
                <w:sz w:val="33"/>
                <w:szCs w:val="33"/>
                <w:lang w:val="en-IN" w:eastAsia="en-IN"/>
              </w:rPr>
              <w:t>/New Delhi</w:t>
            </w:r>
            <w:r w:rsidRPr="003B7E2E">
              <w:rPr>
                <w:rFonts w:ascii="Open Sans" w:eastAsia="Times New Roman" w:hAnsi="Open Sans" w:cs="Open Sans"/>
                <w:b/>
                <w:bCs/>
                <w:smallCaps/>
                <w:color w:val="333333"/>
                <w:kern w:val="36"/>
                <w:sz w:val="33"/>
                <w:szCs w:val="33"/>
                <w:lang w:val="en-IN" w:eastAsia="en-IN"/>
              </w:rPr>
              <w:t>, India)</w:t>
            </w:r>
          </w:p>
          <w:p w14:paraId="0CE8F2D9" w14:textId="40E669C1" w:rsidR="003B7E2E" w:rsidRPr="003B7E2E" w:rsidRDefault="003B7E2E" w:rsidP="003B7E2E">
            <w:pPr>
              <w:shd w:val="clear" w:color="auto" w:fill="FFFFFF"/>
              <w:spacing w:after="300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McQuilling Shipping Services India Pvt Ltd is seeking a qualified candidate to </w:t>
            </w: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fulfil</w:t>
            </w: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 the Assistant Chartering Executive role in Mumbai</w:t>
            </w:r>
            <w: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/New Delhi</w:t>
            </w: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, India. </w:t>
            </w:r>
          </w:p>
          <w:p w14:paraId="5FB92B5F" w14:textId="77777777" w:rsidR="003B7E2E" w:rsidRPr="003B7E2E" w:rsidRDefault="003B7E2E" w:rsidP="003B7E2E">
            <w:pPr>
              <w:shd w:val="clear" w:color="auto" w:fill="FFFFFF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en-IN" w:eastAsia="en-IN"/>
              </w:rPr>
              <w:t>CORE FUNCTIONS</w:t>
            </w:r>
          </w:p>
          <w:p w14:paraId="5DC1D2B9" w14:textId="77777777" w:rsidR="003B7E2E" w:rsidRPr="003B7E2E" w:rsidRDefault="003B7E2E" w:rsidP="003B7E2E">
            <w:pPr>
              <w:numPr>
                <w:ilvl w:val="0"/>
                <w:numId w:val="1"/>
              </w:numPr>
              <w:shd w:val="clear" w:color="auto" w:fill="FFFFFF"/>
              <w:ind w:left="457" w:hanging="285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Reports</w:t>
            </w:r>
          </w:p>
          <w:p w14:paraId="0F40EFF8" w14:textId="77777777" w:rsidR="003B7E2E" w:rsidRDefault="003B7E2E" w:rsidP="003B7E2E">
            <w:pPr>
              <w:numPr>
                <w:ilvl w:val="1"/>
                <w:numId w:val="1"/>
              </w:numPr>
              <w:shd w:val="clear" w:color="auto" w:fill="FFFFFF"/>
              <w:ind w:left="740" w:hanging="285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Prepare daily, </w:t>
            </w: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weekly,</w:t>
            </w: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 and monthly reports</w:t>
            </w:r>
          </w:p>
          <w:p w14:paraId="61C787AD" w14:textId="31832576" w:rsidR="003B7E2E" w:rsidRPr="003B7E2E" w:rsidRDefault="003B7E2E" w:rsidP="003B7E2E">
            <w:pPr>
              <w:numPr>
                <w:ilvl w:val="1"/>
                <w:numId w:val="1"/>
              </w:numPr>
              <w:shd w:val="clear" w:color="auto" w:fill="FFFFFF"/>
              <w:ind w:left="740" w:hanging="285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Track cargo, </w:t>
            </w: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company,</w:t>
            </w: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 and shipping trends</w:t>
            </w:r>
          </w:p>
          <w:p w14:paraId="3EACE5EB" w14:textId="77777777" w:rsidR="003B7E2E" w:rsidRPr="003B7E2E" w:rsidRDefault="003B7E2E" w:rsidP="003B7E2E">
            <w:pPr>
              <w:numPr>
                <w:ilvl w:val="0"/>
                <w:numId w:val="1"/>
              </w:numPr>
              <w:shd w:val="clear" w:color="auto" w:fill="FFFFFF"/>
              <w:ind w:left="457" w:right="361" w:hanging="285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Position Lists/Fixtures on company proprietary tools</w:t>
            </w:r>
          </w:p>
          <w:p w14:paraId="3DE3728C" w14:textId="77777777" w:rsidR="003B7E2E" w:rsidRDefault="003B7E2E" w:rsidP="003B7E2E">
            <w:pPr>
              <w:numPr>
                <w:ilvl w:val="1"/>
                <w:numId w:val="1"/>
              </w:numPr>
              <w:shd w:val="clear" w:color="auto" w:fill="FFFFFF"/>
              <w:ind w:left="740" w:hanging="285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Update vessels positions, new </w:t>
            </w: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acquisitions,</w:t>
            </w: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 and asset sales</w:t>
            </w:r>
          </w:p>
          <w:p w14:paraId="64391A3D" w14:textId="77777777" w:rsidR="003B7E2E" w:rsidRDefault="003B7E2E" w:rsidP="003B7E2E">
            <w:pPr>
              <w:numPr>
                <w:ilvl w:val="1"/>
                <w:numId w:val="1"/>
              </w:numPr>
              <w:shd w:val="clear" w:color="auto" w:fill="FFFFFF"/>
              <w:ind w:left="740" w:hanging="285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Update recent fixtures</w:t>
            </w:r>
          </w:p>
          <w:p w14:paraId="21EB6AC9" w14:textId="7CA5158F" w:rsidR="003B7E2E" w:rsidRPr="003B7E2E" w:rsidRDefault="003B7E2E" w:rsidP="003B7E2E">
            <w:pPr>
              <w:numPr>
                <w:ilvl w:val="1"/>
                <w:numId w:val="1"/>
              </w:numPr>
              <w:shd w:val="clear" w:color="auto" w:fill="FFFFFF"/>
              <w:ind w:left="740" w:hanging="285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Update </w:t>
            </w:r>
            <w:proofErr w:type="spellStart"/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Chrtrs</w:t>
            </w:r>
            <w:proofErr w:type="spellEnd"/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, Owners and vessel details in the database</w:t>
            </w:r>
          </w:p>
          <w:p w14:paraId="5F6C7503" w14:textId="77777777" w:rsidR="003B7E2E" w:rsidRPr="003B7E2E" w:rsidRDefault="003B7E2E" w:rsidP="003B7E2E">
            <w:pPr>
              <w:numPr>
                <w:ilvl w:val="0"/>
                <w:numId w:val="1"/>
              </w:numPr>
              <w:shd w:val="clear" w:color="auto" w:fill="FFFFFF"/>
              <w:ind w:left="457" w:hanging="285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Communication</w:t>
            </w:r>
          </w:p>
          <w:p w14:paraId="094CF8E1" w14:textId="77777777" w:rsidR="003B7E2E" w:rsidRDefault="003B7E2E" w:rsidP="003B7E2E">
            <w:pPr>
              <w:numPr>
                <w:ilvl w:val="1"/>
                <w:numId w:val="1"/>
              </w:numPr>
              <w:shd w:val="clear" w:color="auto" w:fill="FFFFFF"/>
              <w:ind w:left="740" w:hanging="285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Send out intro mails to potential clients</w:t>
            </w:r>
          </w:p>
          <w:p w14:paraId="35652C23" w14:textId="01F75A39" w:rsidR="003B7E2E" w:rsidRPr="003B7E2E" w:rsidRDefault="003B7E2E" w:rsidP="003B7E2E">
            <w:pPr>
              <w:numPr>
                <w:ilvl w:val="1"/>
                <w:numId w:val="1"/>
              </w:numPr>
              <w:shd w:val="clear" w:color="auto" w:fill="FFFFFF"/>
              <w:ind w:left="740" w:hanging="285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Seamless liaison between Charterers and Owners PIC</w:t>
            </w:r>
          </w:p>
          <w:p w14:paraId="055B1216" w14:textId="77777777" w:rsidR="003B7E2E" w:rsidRPr="003B7E2E" w:rsidRDefault="003B7E2E" w:rsidP="003B7E2E">
            <w:pPr>
              <w:numPr>
                <w:ilvl w:val="0"/>
                <w:numId w:val="1"/>
              </w:numPr>
              <w:shd w:val="clear" w:color="auto" w:fill="FFFFFF"/>
              <w:ind w:left="457" w:hanging="285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Fixtures</w:t>
            </w:r>
          </w:p>
          <w:p w14:paraId="4FBC8643" w14:textId="77777777" w:rsidR="003B7E2E" w:rsidRDefault="003B7E2E" w:rsidP="003B7E2E">
            <w:pPr>
              <w:numPr>
                <w:ilvl w:val="1"/>
                <w:numId w:val="1"/>
              </w:numPr>
              <w:shd w:val="clear" w:color="auto" w:fill="FFFFFF"/>
              <w:ind w:left="740" w:hanging="285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Send cargo enquiries / quotes to Owners by email and other communication channels</w:t>
            </w:r>
          </w:p>
          <w:p w14:paraId="370F7BF3" w14:textId="77777777" w:rsidR="003B7E2E" w:rsidRDefault="003B7E2E" w:rsidP="003B7E2E">
            <w:pPr>
              <w:numPr>
                <w:ilvl w:val="1"/>
                <w:numId w:val="1"/>
              </w:numPr>
              <w:shd w:val="clear" w:color="auto" w:fill="FFFFFF"/>
              <w:ind w:left="740" w:hanging="285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Prepare Owners offers for submission to </w:t>
            </w:r>
            <w:proofErr w:type="spellStart"/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Chrtrs</w:t>
            </w:r>
            <w:proofErr w:type="spellEnd"/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 email or online portals</w:t>
            </w:r>
          </w:p>
          <w:p w14:paraId="6FE85CF5" w14:textId="77777777" w:rsidR="003B7E2E" w:rsidRDefault="003B7E2E" w:rsidP="003B7E2E">
            <w:pPr>
              <w:numPr>
                <w:ilvl w:val="1"/>
                <w:numId w:val="1"/>
              </w:numPr>
              <w:shd w:val="clear" w:color="auto" w:fill="FFFFFF"/>
              <w:ind w:left="740" w:hanging="285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Send and receive counters / comments from </w:t>
            </w:r>
            <w:proofErr w:type="spellStart"/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Chrtrs</w:t>
            </w:r>
            <w:proofErr w:type="spellEnd"/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 / Owns in a timely manner</w:t>
            </w:r>
          </w:p>
          <w:p w14:paraId="72F97573" w14:textId="3B48B8DA" w:rsidR="003B7E2E" w:rsidRPr="003B7E2E" w:rsidRDefault="003B7E2E" w:rsidP="003B7E2E">
            <w:pPr>
              <w:numPr>
                <w:ilvl w:val="1"/>
                <w:numId w:val="1"/>
              </w:numPr>
              <w:shd w:val="clear" w:color="auto" w:fill="FFFFFF"/>
              <w:ind w:left="740" w:hanging="285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lastRenderedPageBreak/>
              <w:t>Preparation and approval of recap and C/P based on fixture notes</w:t>
            </w:r>
          </w:p>
          <w:p w14:paraId="671BA48D" w14:textId="77777777" w:rsidR="003B7E2E" w:rsidRPr="003B7E2E" w:rsidRDefault="003B7E2E" w:rsidP="003B7E2E">
            <w:pPr>
              <w:shd w:val="clear" w:color="auto" w:fill="FFFFFF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en-IN" w:eastAsia="en-IN"/>
              </w:rPr>
              <w:t>SKILLS AND ATTRIBUTES</w:t>
            </w:r>
          </w:p>
          <w:p w14:paraId="2A84A518" w14:textId="77777777" w:rsidR="003B7E2E" w:rsidRPr="003B7E2E" w:rsidRDefault="003B7E2E" w:rsidP="003B7E2E">
            <w:pPr>
              <w:numPr>
                <w:ilvl w:val="0"/>
                <w:numId w:val="2"/>
              </w:numPr>
              <w:shd w:val="clear" w:color="auto" w:fill="FFFFFF"/>
              <w:ind w:left="315" w:hanging="220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Good English language and communication skills</w:t>
            </w:r>
          </w:p>
          <w:p w14:paraId="3DBE4477" w14:textId="77777777" w:rsidR="003B7E2E" w:rsidRPr="003B7E2E" w:rsidRDefault="003B7E2E" w:rsidP="003B7E2E">
            <w:pPr>
              <w:numPr>
                <w:ilvl w:val="0"/>
                <w:numId w:val="2"/>
              </w:numPr>
              <w:shd w:val="clear" w:color="auto" w:fill="FFFFFF"/>
              <w:ind w:left="315" w:hanging="220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Computer skills include high level of use Outlook / other mail clients, MS Office, ability to learn proprietary software</w:t>
            </w:r>
          </w:p>
          <w:p w14:paraId="47554C4B" w14:textId="77777777" w:rsidR="003B7E2E" w:rsidRPr="003B7E2E" w:rsidRDefault="003B7E2E" w:rsidP="003B7E2E">
            <w:pPr>
              <w:numPr>
                <w:ilvl w:val="0"/>
                <w:numId w:val="2"/>
              </w:numPr>
              <w:shd w:val="clear" w:color="auto" w:fill="FFFFFF"/>
              <w:ind w:left="315" w:hanging="220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Promptness to respond to emails, situations</w:t>
            </w:r>
          </w:p>
          <w:p w14:paraId="2E5CA287" w14:textId="77777777" w:rsidR="003B7E2E" w:rsidRPr="003B7E2E" w:rsidRDefault="003B7E2E" w:rsidP="003B7E2E">
            <w:pPr>
              <w:numPr>
                <w:ilvl w:val="0"/>
                <w:numId w:val="2"/>
              </w:numPr>
              <w:shd w:val="clear" w:color="auto" w:fill="FFFFFF"/>
              <w:ind w:left="315" w:hanging="220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Availability on mobile / PC 24 x 7</w:t>
            </w:r>
          </w:p>
          <w:p w14:paraId="32D3E13F" w14:textId="77777777" w:rsidR="003B7E2E" w:rsidRPr="003B7E2E" w:rsidRDefault="003B7E2E" w:rsidP="003B7E2E">
            <w:pPr>
              <w:numPr>
                <w:ilvl w:val="0"/>
                <w:numId w:val="2"/>
              </w:numPr>
              <w:shd w:val="clear" w:color="auto" w:fill="FFFFFF"/>
              <w:ind w:left="315" w:hanging="220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Courteous and pleasing personality to build positive relationships with clients and in house team</w:t>
            </w:r>
          </w:p>
          <w:p w14:paraId="0574FD51" w14:textId="77777777" w:rsidR="003B7E2E" w:rsidRPr="003B7E2E" w:rsidRDefault="003B7E2E" w:rsidP="003B7E2E">
            <w:pPr>
              <w:shd w:val="clear" w:color="auto" w:fill="FFFFFF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en-IN" w:eastAsia="en-IN"/>
              </w:rPr>
              <w:t>ADDITIONALLY</w:t>
            </w:r>
          </w:p>
          <w:p w14:paraId="7426AE37" w14:textId="77777777" w:rsidR="003B7E2E" w:rsidRPr="003B7E2E" w:rsidRDefault="003B7E2E" w:rsidP="003B7E2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315" w:hanging="220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Assist in pre and post fixture tasks</w:t>
            </w:r>
          </w:p>
          <w:p w14:paraId="0AF6711D" w14:textId="77777777" w:rsidR="003B7E2E" w:rsidRPr="003B7E2E" w:rsidRDefault="003B7E2E" w:rsidP="003B7E2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315" w:hanging="220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Networking and business development with clients</w:t>
            </w:r>
          </w:p>
          <w:p w14:paraId="2B5E2633" w14:textId="08023771" w:rsidR="003B7E2E" w:rsidRPr="003B7E2E" w:rsidRDefault="003B7E2E" w:rsidP="003B7E2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315" w:hanging="220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Shipping </w:t>
            </w: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knowledge (</w:t>
            </w: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LPG and Oil Tanker preferred)</w:t>
            </w:r>
          </w:p>
          <w:p w14:paraId="55EC4300" w14:textId="77777777" w:rsidR="003B7E2E" w:rsidRPr="003B7E2E" w:rsidRDefault="003B7E2E" w:rsidP="003B7E2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315" w:hanging="220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Analytical and logical mindset</w:t>
            </w:r>
          </w:p>
          <w:p w14:paraId="227FAB91" w14:textId="4C7AF3B0" w:rsidR="007732C1" w:rsidRPr="007732C1" w:rsidRDefault="003B7E2E" w:rsidP="007732C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5"/>
              </w:tabs>
              <w:ind w:left="315" w:hanging="220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3B7E2E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Carry out any other responsibilities and tasks assigned in addition to the above as required.</w:t>
            </w:r>
          </w:p>
        </w:tc>
      </w:tr>
      <w:tr w:rsidR="006B6D8A" w:rsidRPr="00970EEB" w14:paraId="64779076" w14:textId="77777777" w:rsidTr="007732C1">
        <w:trPr>
          <w:trHeight w:val="136"/>
        </w:trPr>
        <w:tc>
          <w:tcPr>
            <w:tcW w:w="675" w:type="dxa"/>
            <w:vMerge/>
          </w:tcPr>
          <w:p w14:paraId="02618071" w14:textId="77777777" w:rsidR="006B6D8A" w:rsidRPr="007732C1" w:rsidRDefault="006B6D8A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</w:p>
        </w:tc>
        <w:tc>
          <w:tcPr>
            <w:tcW w:w="2268" w:type="dxa"/>
          </w:tcPr>
          <w:p w14:paraId="375FCB4D" w14:textId="2395C697" w:rsidR="006B6D8A" w:rsidRPr="007732C1" w:rsidRDefault="006B6D8A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.2 Number of vacancies</w:t>
            </w:r>
          </w:p>
        </w:tc>
        <w:tc>
          <w:tcPr>
            <w:tcW w:w="6302" w:type="dxa"/>
          </w:tcPr>
          <w:p w14:paraId="38C12364" w14:textId="42040843" w:rsidR="0012097F" w:rsidRPr="007732C1" w:rsidRDefault="00970EEB" w:rsidP="00471CDB">
            <w:pP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1</w:t>
            </w:r>
            <w:r w:rsidR="0012097F"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 </w:t>
            </w:r>
            <w:r w:rsid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 xml:space="preserve">Male or </w:t>
            </w:r>
            <w:r w:rsidR="0012097F"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Female</w:t>
            </w:r>
          </w:p>
        </w:tc>
      </w:tr>
      <w:tr w:rsidR="006B6D8A" w:rsidRPr="00970EEB" w14:paraId="7B82B9B1" w14:textId="77777777" w:rsidTr="007732C1">
        <w:trPr>
          <w:trHeight w:val="136"/>
        </w:trPr>
        <w:tc>
          <w:tcPr>
            <w:tcW w:w="675" w:type="dxa"/>
            <w:vMerge/>
          </w:tcPr>
          <w:p w14:paraId="59EDF69A" w14:textId="77777777" w:rsidR="006B6D8A" w:rsidRPr="007732C1" w:rsidRDefault="006B6D8A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</w:p>
        </w:tc>
        <w:tc>
          <w:tcPr>
            <w:tcW w:w="2268" w:type="dxa"/>
          </w:tcPr>
          <w:p w14:paraId="225B5E5D" w14:textId="590EB07E" w:rsidR="006B6D8A" w:rsidRPr="007732C1" w:rsidRDefault="006B6D8A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.3 Approx. monthly compensation &amp; other benefits</w:t>
            </w:r>
          </w:p>
        </w:tc>
        <w:tc>
          <w:tcPr>
            <w:tcW w:w="6302" w:type="dxa"/>
          </w:tcPr>
          <w:p w14:paraId="263FE00A" w14:textId="77777777" w:rsidR="006B6D8A" w:rsidRPr="007732C1" w:rsidRDefault="0012097F" w:rsidP="00471CDB">
            <w:pP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In line with industry</w:t>
            </w:r>
          </w:p>
        </w:tc>
      </w:tr>
      <w:tr w:rsidR="006B6D8A" w:rsidRPr="00970EEB" w14:paraId="5B539F05" w14:textId="77777777" w:rsidTr="007732C1">
        <w:trPr>
          <w:trHeight w:val="136"/>
        </w:trPr>
        <w:tc>
          <w:tcPr>
            <w:tcW w:w="675" w:type="dxa"/>
            <w:vMerge/>
          </w:tcPr>
          <w:p w14:paraId="611AC83D" w14:textId="77777777" w:rsidR="006B6D8A" w:rsidRPr="007732C1" w:rsidRDefault="006B6D8A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</w:p>
        </w:tc>
        <w:tc>
          <w:tcPr>
            <w:tcW w:w="2268" w:type="dxa"/>
          </w:tcPr>
          <w:p w14:paraId="75443371" w14:textId="27ADFEA4" w:rsidR="006B6D8A" w:rsidRPr="007732C1" w:rsidRDefault="006B6D8A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.4 Location of Employment</w:t>
            </w:r>
          </w:p>
        </w:tc>
        <w:tc>
          <w:tcPr>
            <w:tcW w:w="6302" w:type="dxa"/>
          </w:tcPr>
          <w:p w14:paraId="5476597B" w14:textId="6BD9DF14" w:rsidR="006B6D8A" w:rsidRPr="007732C1" w:rsidRDefault="00970EEB" w:rsidP="00471CDB">
            <w:pP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Mumbai</w:t>
            </w:r>
            <w:r w:rsidR="003B7E2E"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/New Delhi</w:t>
            </w: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, India</w:t>
            </w:r>
          </w:p>
        </w:tc>
      </w:tr>
      <w:tr w:rsidR="006B6D8A" w:rsidRPr="00970EEB" w14:paraId="2EAE1AB7" w14:textId="77777777" w:rsidTr="007732C1">
        <w:trPr>
          <w:trHeight w:val="224"/>
        </w:trPr>
        <w:tc>
          <w:tcPr>
            <w:tcW w:w="675" w:type="dxa"/>
            <w:vMerge/>
          </w:tcPr>
          <w:p w14:paraId="32086CC4" w14:textId="77777777" w:rsidR="006B6D8A" w:rsidRPr="007732C1" w:rsidRDefault="006B6D8A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</w:p>
        </w:tc>
        <w:tc>
          <w:tcPr>
            <w:tcW w:w="2268" w:type="dxa"/>
          </w:tcPr>
          <w:p w14:paraId="4F61D9A7" w14:textId="32FDB9CE" w:rsidR="006B6D8A" w:rsidRPr="007732C1" w:rsidRDefault="006B6D8A" w:rsidP="00C92196">
            <w:pPr>
              <w:jc w:val="both"/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.5 Any other details</w:t>
            </w:r>
          </w:p>
        </w:tc>
        <w:tc>
          <w:tcPr>
            <w:tcW w:w="6302" w:type="dxa"/>
          </w:tcPr>
          <w:p w14:paraId="59E48423" w14:textId="6FCD1E19" w:rsidR="0012097F" w:rsidRPr="007732C1" w:rsidRDefault="003B7E2E" w:rsidP="007732C1">
            <w:pPr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</w:pPr>
            <w:r w:rsidRPr="007732C1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IN" w:eastAsia="en-IN"/>
              </w:rPr>
              <w:t>As above</w:t>
            </w:r>
          </w:p>
        </w:tc>
      </w:tr>
    </w:tbl>
    <w:p w14:paraId="6843BCD0" w14:textId="77777777" w:rsidR="006B6D8A" w:rsidRDefault="006B6D8A" w:rsidP="00C92196">
      <w:pPr>
        <w:jc w:val="both"/>
        <w:rPr>
          <w:rFonts w:ascii="Arial" w:hAnsi="Arial" w:cs="Arial"/>
          <w:sz w:val="24"/>
          <w:szCs w:val="24"/>
        </w:rPr>
      </w:pPr>
    </w:p>
    <w:p w14:paraId="09AF6BB4" w14:textId="77777777" w:rsidR="006B6D8A" w:rsidRPr="00C92196" w:rsidRDefault="00813432" w:rsidP="006B6D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sectPr w:rsidR="006B6D8A" w:rsidRPr="00C92196" w:rsidSect="00471CDB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1FA"/>
    <w:multiLevelType w:val="multilevel"/>
    <w:tmpl w:val="CC2E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235CA"/>
    <w:multiLevelType w:val="hybridMultilevel"/>
    <w:tmpl w:val="794A84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29FA"/>
    <w:multiLevelType w:val="multilevel"/>
    <w:tmpl w:val="33300B4E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DB60C9"/>
    <w:multiLevelType w:val="multilevel"/>
    <w:tmpl w:val="9BE6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710"/>
    <w:rsid w:val="0012097F"/>
    <w:rsid w:val="00191075"/>
    <w:rsid w:val="00327710"/>
    <w:rsid w:val="003B7E2E"/>
    <w:rsid w:val="00471CDB"/>
    <w:rsid w:val="006B6D8A"/>
    <w:rsid w:val="007732C1"/>
    <w:rsid w:val="00813432"/>
    <w:rsid w:val="00970EEB"/>
    <w:rsid w:val="00A10C34"/>
    <w:rsid w:val="00C92196"/>
    <w:rsid w:val="00DB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B15E"/>
  <w15:docId w15:val="{85969D98-D39F-4E43-AE45-0A10C167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7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2097F"/>
    <w:rPr>
      <w:color w:val="0000FF" w:themeColor="hyperlink"/>
      <w:u w:val="single"/>
    </w:rPr>
  </w:style>
  <w:style w:type="paragraph" w:customStyle="1" w:styleId="fawzd1fe">
    <w:name w:val="fawzd1fe"/>
    <w:basedOn w:val="Normal"/>
    <w:rsid w:val="009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3B7E2E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3B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3B7E2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732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hu.kodakara@mcquillin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ushar.gangoly@mcquill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quillin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55F2-4427-471C-8AF6-A1BB0041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Tushar Gangoly</cp:lastModifiedBy>
  <cp:revision>3</cp:revision>
  <dcterms:created xsi:type="dcterms:W3CDTF">2021-05-25T08:28:00Z</dcterms:created>
  <dcterms:modified xsi:type="dcterms:W3CDTF">2021-05-25T08:43:00Z</dcterms:modified>
</cp:coreProperties>
</file>